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4C" w:rsidRDefault="00B6224C" w:rsidP="00B6224C">
      <w:pPr>
        <w:spacing w:after="0"/>
        <w:jc w:val="right"/>
        <w:rPr>
          <w:rFonts w:ascii="Times New Roman" w:hAnsi="Times New Roman"/>
          <w:b/>
        </w:rPr>
      </w:pPr>
      <w:r>
        <w:rPr>
          <w:rFonts w:ascii="Times New Roman" w:hAnsi="Times New Roman"/>
          <w:b/>
        </w:rPr>
        <w:t>[4] pielikums</w:t>
      </w:r>
    </w:p>
    <w:p w:rsidR="00B6224C" w:rsidRDefault="00B6224C" w:rsidP="00B6224C">
      <w:pPr>
        <w:spacing w:after="0"/>
        <w:jc w:val="right"/>
        <w:rPr>
          <w:rFonts w:ascii="Times New Roman" w:hAnsi="Times New Roman"/>
          <w:b/>
        </w:rPr>
      </w:pPr>
      <w:r>
        <w:rPr>
          <w:rFonts w:ascii="Times New Roman" w:hAnsi="Times New Roman"/>
          <w:b/>
        </w:rPr>
        <w:t>iepirkuma “BŪVMATERIĀLU PIEGĀDE REMONTDARBU VEIKŠANAI”</w:t>
      </w:r>
      <w:bookmarkStart w:id="0" w:name="_GoBack"/>
      <w:bookmarkEnd w:id="0"/>
    </w:p>
    <w:p w:rsidR="00B6224C" w:rsidRDefault="00B6224C" w:rsidP="00B6224C">
      <w:pPr>
        <w:spacing w:after="0"/>
        <w:jc w:val="right"/>
      </w:pPr>
      <w:r>
        <w:rPr>
          <w:rFonts w:ascii="Times New Roman" w:hAnsi="Times New Roman"/>
          <w:b/>
        </w:rPr>
        <w:t>Identifikācijas Nr. “SIA VCI 2015</w:t>
      </w:r>
      <w:r>
        <w:rPr>
          <w:rFonts w:ascii="Times New Roman" w:hAnsi="Times New Roman"/>
        </w:rPr>
        <w:t xml:space="preserve">/4 </w:t>
      </w:r>
    </w:p>
    <w:p w:rsidR="00B6224C" w:rsidRDefault="00B6224C" w:rsidP="00B6224C">
      <w:pPr>
        <w:spacing w:after="0"/>
        <w:jc w:val="right"/>
        <w:rPr>
          <w:rFonts w:ascii="Times New Roman" w:hAnsi="Times New Roman"/>
        </w:rPr>
      </w:pPr>
      <w:r>
        <w:rPr>
          <w:rFonts w:ascii="Times New Roman" w:hAnsi="Times New Roman"/>
        </w:rPr>
        <w:t>nolikumam</w:t>
      </w:r>
    </w:p>
    <w:p w:rsidR="00B6224C" w:rsidRDefault="00B6224C" w:rsidP="00B6224C">
      <w:pPr>
        <w:spacing w:after="0"/>
        <w:jc w:val="right"/>
        <w:rPr>
          <w:rFonts w:ascii="Times New Roman" w:hAnsi="Times New Roman"/>
        </w:rPr>
      </w:pPr>
    </w:p>
    <w:p w:rsidR="00B6224C" w:rsidRDefault="00B6224C" w:rsidP="00B6224C">
      <w:pPr>
        <w:spacing w:after="0"/>
        <w:jc w:val="center"/>
        <w:rPr>
          <w:rFonts w:ascii="Times New Roman" w:hAnsi="Times New Roman"/>
          <w:b/>
          <w:sz w:val="28"/>
          <w:szCs w:val="28"/>
        </w:rPr>
      </w:pPr>
      <w:r>
        <w:rPr>
          <w:rFonts w:ascii="Times New Roman" w:hAnsi="Times New Roman"/>
          <w:b/>
          <w:sz w:val="28"/>
          <w:szCs w:val="28"/>
        </w:rPr>
        <w:t>LĪGUMS Nr.____________</w:t>
      </w:r>
    </w:p>
    <w:p w:rsidR="00B6224C" w:rsidRDefault="00B6224C" w:rsidP="00B6224C">
      <w:pPr>
        <w:spacing w:after="0"/>
        <w:jc w:val="center"/>
        <w:rPr>
          <w:rFonts w:ascii="Times New Roman" w:hAnsi="Times New Roman"/>
          <w:b/>
        </w:rPr>
      </w:pPr>
      <w:r>
        <w:rPr>
          <w:rFonts w:ascii="Times New Roman" w:hAnsi="Times New Roman"/>
          <w:b/>
        </w:rPr>
        <w:t>ar būvmateriālu piegādi remontdarbu veikšanai</w:t>
      </w:r>
    </w:p>
    <w:p w:rsidR="00B6224C" w:rsidRDefault="00B6224C" w:rsidP="00B6224C">
      <w:pPr>
        <w:spacing w:after="0"/>
        <w:jc w:val="center"/>
        <w:rPr>
          <w:rFonts w:ascii="Times New Roman" w:hAnsi="Times New Roman"/>
        </w:rPr>
      </w:pPr>
    </w:p>
    <w:p w:rsidR="00B6224C" w:rsidRDefault="00B6224C" w:rsidP="00B6224C">
      <w:pPr>
        <w:spacing w:after="0"/>
        <w:rPr>
          <w:rFonts w:ascii="Times New Roman" w:hAnsi="Times New Roman"/>
        </w:rPr>
      </w:pPr>
      <w:r>
        <w:rPr>
          <w:rFonts w:ascii="Times New Roman" w:hAnsi="Times New Roman"/>
        </w:rPr>
        <w:t>Ilūkstē,</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2015.gada ………............</w:t>
      </w:r>
    </w:p>
    <w:p w:rsidR="00B6224C" w:rsidRDefault="00B6224C" w:rsidP="00B6224C">
      <w:pPr>
        <w:spacing w:after="0"/>
        <w:rPr>
          <w:rFonts w:ascii="Times New Roman" w:hAnsi="Times New Roman"/>
        </w:rPr>
      </w:pPr>
    </w:p>
    <w:p w:rsidR="00B6224C" w:rsidRDefault="00B6224C" w:rsidP="00B6224C">
      <w:pPr>
        <w:spacing w:after="0"/>
        <w:rPr>
          <w:rFonts w:ascii="Times New Roman" w:hAnsi="Times New Roman"/>
        </w:rPr>
      </w:pPr>
    </w:p>
    <w:p w:rsidR="00B6224C" w:rsidRDefault="00B6224C" w:rsidP="00B6224C">
      <w:pPr>
        <w:spacing w:after="0"/>
        <w:jc w:val="both"/>
      </w:pPr>
      <w:r>
        <w:rPr>
          <w:rFonts w:ascii="Times New Roman" w:hAnsi="Times New Roman"/>
        </w:rPr>
        <w:tab/>
      </w:r>
      <w:r>
        <w:rPr>
          <w:rFonts w:ascii="Times New Roman" w:hAnsi="Times New Roman"/>
          <w:b/>
        </w:rPr>
        <w:t>SIA “Veselības centrs Ilūkste”</w:t>
      </w:r>
      <w:r>
        <w:rPr>
          <w:rFonts w:ascii="Times New Roman" w:hAnsi="Times New Roman"/>
        </w:rPr>
        <w:t xml:space="preserve">, </w:t>
      </w:r>
      <w:proofErr w:type="spellStart"/>
      <w:r>
        <w:rPr>
          <w:rFonts w:ascii="Times New Roman" w:hAnsi="Times New Roman"/>
        </w:rPr>
        <w:t>reģ</w:t>
      </w:r>
      <w:proofErr w:type="spellEnd"/>
      <w:r>
        <w:rPr>
          <w:rFonts w:ascii="Times New Roman" w:hAnsi="Times New Roman"/>
        </w:rPr>
        <w:t xml:space="preserve">. Nr. 41503014677, adrese Raiņa iela 35, Ilūkste, Ilūkstes novads, tās valdes locekles Zanes </w:t>
      </w:r>
      <w:proofErr w:type="spellStart"/>
      <w:r>
        <w:rPr>
          <w:rFonts w:ascii="Times New Roman" w:hAnsi="Times New Roman"/>
        </w:rPr>
        <w:t>Bucenieces</w:t>
      </w:r>
      <w:proofErr w:type="spellEnd"/>
      <w:r>
        <w:rPr>
          <w:rFonts w:ascii="Times New Roman" w:hAnsi="Times New Roman"/>
        </w:rPr>
        <w:t xml:space="preserve"> – </w:t>
      </w:r>
      <w:proofErr w:type="spellStart"/>
      <w:r>
        <w:rPr>
          <w:rFonts w:ascii="Times New Roman" w:hAnsi="Times New Roman"/>
        </w:rPr>
        <w:t>Zībergas</w:t>
      </w:r>
      <w:proofErr w:type="spellEnd"/>
      <w:r>
        <w:rPr>
          <w:rFonts w:ascii="Times New Roman" w:hAnsi="Times New Roman"/>
        </w:rPr>
        <w:t xml:space="preserve"> personā, kas darbojas pamatojoties uz statūtu pamata (turpmāk – Pasūtītājs), turpmāk – PIRCĒJS no vienas puses, un …………………………………………………... </w:t>
      </w:r>
      <w:proofErr w:type="spellStart"/>
      <w:r>
        <w:rPr>
          <w:rFonts w:ascii="Times New Roman" w:hAnsi="Times New Roman"/>
        </w:rPr>
        <w:t>reg</w:t>
      </w:r>
      <w:proofErr w:type="spellEnd"/>
      <w:r>
        <w:rPr>
          <w:rFonts w:ascii="Times New Roman" w:hAnsi="Times New Roman"/>
        </w:rPr>
        <w:t>. Nr. …………………….., atrodas ………………………………. tās ………………………………………… personā, kurš rīkojas saskaņā ar …………………, turpmāk – PĀRDEVĒJS no otras Puses, abi kopā saukti Puses un katrs atsevišķi Puse, bez viltus, spaidiem un maldības, pamatojoties uz spēkā esošiem Latvijas Republikas normatīvajiem aktiem un iepirkuma “</w:t>
      </w:r>
      <w:r>
        <w:rPr>
          <w:rFonts w:ascii="Times New Roman" w:hAnsi="Times New Roman"/>
          <w:b/>
        </w:rPr>
        <w:t>Būvmateriālu piegāde remontdarbu</w:t>
      </w:r>
      <w:r>
        <w:rPr>
          <w:rFonts w:ascii="Times New Roman" w:hAnsi="Times New Roman"/>
        </w:rPr>
        <w:t xml:space="preserve"> </w:t>
      </w:r>
      <w:r>
        <w:rPr>
          <w:rFonts w:ascii="Times New Roman" w:hAnsi="Times New Roman"/>
          <w:b/>
        </w:rPr>
        <w:t>veikšana</w:t>
      </w:r>
      <w:r>
        <w:rPr>
          <w:rFonts w:ascii="Times New Roman" w:hAnsi="Times New Roman"/>
        </w:rPr>
        <w:t>i”, ID Nr. VCI 2015/4 rezultātiem, noslēdza šo piegādes līgumu, turpmāk tekstā saukts Līgums, par sekojošo:</w:t>
      </w:r>
    </w:p>
    <w:p w:rsidR="00B6224C" w:rsidRDefault="00B6224C" w:rsidP="00B6224C">
      <w:pPr>
        <w:spacing w:after="0"/>
        <w:jc w:val="both"/>
        <w:rPr>
          <w:rFonts w:ascii="Times New Roman" w:hAnsi="Times New Roman"/>
        </w:rPr>
      </w:pPr>
    </w:p>
    <w:p w:rsidR="00B6224C" w:rsidRDefault="00B6224C" w:rsidP="00B6224C">
      <w:pPr>
        <w:pStyle w:val="Sarakstarindkopa"/>
        <w:numPr>
          <w:ilvl w:val="0"/>
          <w:numId w:val="2"/>
        </w:numPr>
        <w:spacing w:after="0"/>
        <w:jc w:val="both"/>
        <w:rPr>
          <w:rFonts w:ascii="Times New Roman" w:hAnsi="Times New Roman"/>
          <w:b/>
          <w:sz w:val="24"/>
        </w:rPr>
      </w:pPr>
      <w:r>
        <w:rPr>
          <w:rFonts w:ascii="Times New Roman" w:hAnsi="Times New Roman"/>
          <w:b/>
          <w:sz w:val="24"/>
        </w:rPr>
        <w:t>LĪGUMA PRIEKŠMETS</w:t>
      </w:r>
    </w:p>
    <w:p w:rsidR="00B6224C" w:rsidRDefault="00B6224C" w:rsidP="00B6224C">
      <w:pPr>
        <w:spacing w:after="0"/>
        <w:jc w:val="both"/>
        <w:rPr>
          <w:rFonts w:ascii="Times New Roman" w:hAnsi="Times New Roman"/>
          <w:b/>
          <w:sz w:val="24"/>
        </w:rPr>
      </w:pPr>
    </w:p>
    <w:p w:rsidR="00B6224C" w:rsidRDefault="00B6224C" w:rsidP="00B6224C">
      <w:pPr>
        <w:pStyle w:val="Sarakstarindkopa"/>
        <w:numPr>
          <w:ilvl w:val="1"/>
          <w:numId w:val="2"/>
        </w:numPr>
        <w:spacing w:after="0"/>
        <w:jc w:val="both"/>
      </w:pPr>
      <w:r>
        <w:rPr>
          <w:rFonts w:ascii="Times New Roman" w:hAnsi="Times New Roman"/>
        </w:rPr>
        <w:t>Pārdevējs pārdod, bet Pircējs pērk SIA “Veselības centrs Ilūkste” vajadzībām būvmateriālus, saskaņā ar iesniegto finanšu un tehnisko piedāvājumu, iepirkuma “Būvmateriālu piegāde remontdarbu veikšanai” ar ID nr</w:t>
      </w:r>
      <w:r>
        <w:rPr>
          <w:rFonts w:ascii="Times New Roman" w:hAnsi="Times New Roman"/>
          <w:color w:val="92D050"/>
        </w:rPr>
        <w:t xml:space="preserve">. </w:t>
      </w:r>
      <w:r>
        <w:rPr>
          <w:rFonts w:ascii="Times New Roman" w:hAnsi="Times New Roman"/>
        </w:rPr>
        <w:t>VCI 2015/4 vajadzībām (turpmāk tekstā – prece), kas atbilst atvijas Republikas un Eiropas Savienības spēkā esošajos normatīvajos aktos noteiktajām kvalitātes prasībām.</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Preces daudzums tiek noteikts no Pircēja puses iesniegtajā (telefoniski un e-pastā vai rakstiski) un no Pārdevēja puses izpildīšanai pieņemtajā (telefoniskajā un e-pasta vai rakstiskajā pasūtījumā).</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Nepieciešamības gadījumā veikt bezmaksas piegādi uz SIA “Veselības centrs Ilūkste”, Raiņa iela 35, Ilūkstē, Ilūkstes novadā, LV – 5447.</w:t>
      </w:r>
    </w:p>
    <w:p w:rsidR="00B6224C" w:rsidRDefault="00B6224C" w:rsidP="00B6224C">
      <w:pPr>
        <w:spacing w:after="0"/>
        <w:jc w:val="both"/>
        <w:rPr>
          <w:rFonts w:ascii="Times New Roman" w:hAnsi="Times New Roman"/>
          <w:sz w:val="24"/>
        </w:rPr>
      </w:pPr>
    </w:p>
    <w:p w:rsidR="00B6224C" w:rsidRDefault="00B6224C" w:rsidP="00B6224C">
      <w:pPr>
        <w:pStyle w:val="Sarakstarindkopa"/>
        <w:numPr>
          <w:ilvl w:val="0"/>
          <w:numId w:val="2"/>
        </w:numPr>
        <w:spacing w:after="0"/>
        <w:jc w:val="center"/>
        <w:rPr>
          <w:rFonts w:ascii="Times New Roman" w:hAnsi="Times New Roman"/>
          <w:b/>
          <w:sz w:val="24"/>
        </w:rPr>
      </w:pPr>
      <w:r>
        <w:rPr>
          <w:rFonts w:ascii="Times New Roman" w:hAnsi="Times New Roman"/>
          <w:b/>
          <w:sz w:val="24"/>
        </w:rPr>
        <w:t>PRECES CENA, DAUDZUMS UN LĪGUMA KOPĒJĀ SUMMA</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Vienas PRECES cena noteikta saskaņā ar PĀRDEVĒJA iesniegto finanšu piedāvājumu iepirkumā, “Būvmateriālu piegāde remontdarbu veikšanai” ar ID nr. VCI 2015/4 .</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Cena par PRECES 1 (vienu) vienību ir norādīta finanšu piedāvājumā. Šajā cenā ir iekļauta PRECES vērtība, iepakojuma izmaksas, piegādes izmaksas, visi valsts un pašvaldības noteiktie nodokļi, nodevas un citas izmaksas, kas saistītas ar PRECI.</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Līguma kopējā summa par plānoto PRECES piegādes apjomu sastāda ne vairāk kā EUR …………….. (summa vārdiem) bez pievienotās vērtības nodokļa (PVN). PVN piemēro Latvijas Republikas likumdošanā noteiktajā apmērā.</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Līguma kopējo summu sastāda visu PREČU, kas iegādātas, pamatojoties uz Līgumu, kopējā cenu summa.</w:t>
      </w:r>
    </w:p>
    <w:p w:rsidR="00B6224C" w:rsidRDefault="00B6224C" w:rsidP="00B6224C">
      <w:pPr>
        <w:spacing w:after="0"/>
        <w:jc w:val="both"/>
        <w:rPr>
          <w:rFonts w:ascii="Times New Roman" w:hAnsi="Times New Roman"/>
          <w:sz w:val="24"/>
        </w:rPr>
      </w:pPr>
    </w:p>
    <w:p w:rsidR="00B6224C" w:rsidRDefault="00B6224C" w:rsidP="00B6224C">
      <w:pPr>
        <w:spacing w:after="0"/>
        <w:jc w:val="both"/>
        <w:rPr>
          <w:rFonts w:ascii="Times New Roman" w:hAnsi="Times New Roman"/>
          <w:sz w:val="24"/>
        </w:rPr>
      </w:pPr>
    </w:p>
    <w:p w:rsidR="00B6224C" w:rsidRDefault="00B6224C" w:rsidP="00B6224C">
      <w:pPr>
        <w:spacing w:after="0"/>
        <w:jc w:val="both"/>
        <w:rPr>
          <w:rFonts w:ascii="Times New Roman" w:hAnsi="Times New Roman"/>
          <w:sz w:val="24"/>
        </w:rPr>
      </w:pPr>
    </w:p>
    <w:p w:rsidR="00B6224C" w:rsidRDefault="00B6224C" w:rsidP="00B6224C">
      <w:pPr>
        <w:spacing w:after="0"/>
        <w:jc w:val="both"/>
        <w:rPr>
          <w:rFonts w:ascii="Times New Roman" w:hAnsi="Times New Roman"/>
          <w:sz w:val="24"/>
        </w:rPr>
      </w:pPr>
    </w:p>
    <w:p w:rsidR="00B6224C" w:rsidRDefault="00B6224C" w:rsidP="00B6224C">
      <w:pPr>
        <w:spacing w:after="0"/>
        <w:jc w:val="both"/>
        <w:rPr>
          <w:rFonts w:ascii="Times New Roman" w:hAnsi="Times New Roman"/>
          <w:sz w:val="24"/>
        </w:rPr>
      </w:pPr>
    </w:p>
    <w:p w:rsidR="00B6224C" w:rsidRDefault="00B6224C" w:rsidP="00B6224C">
      <w:pPr>
        <w:spacing w:after="0"/>
        <w:jc w:val="both"/>
        <w:rPr>
          <w:rFonts w:ascii="Times New Roman" w:hAnsi="Times New Roman"/>
          <w:sz w:val="24"/>
        </w:rPr>
      </w:pPr>
    </w:p>
    <w:p w:rsidR="00B6224C" w:rsidRDefault="00B6224C" w:rsidP="00B6224C">
      <w:pPr>
        <w:pStyle w:val="Sarakstarindkopa"/>
        <w:numPr>
          <w:ilvl w:val="0"/>
          <w:numId w:val="2"/>
        </w:numPr>
        <w:spacing w:after="0"/>
        <w:jc w:val="center"/>
        <w:rPr>
          <w:rFonts w:ascii="Times New Roman" w:hAnsi="Times New Roman"/>
          <w:b/>
          <w:sz w:val="24"/>
        </w:rPr>
      </w:pPr>
      <w:r>
        <w:rPr>
          <w:rFonts w:ascii="Times New Roman" w:hAnsi="Times New Roman"/>
          <w:b/>
          <w:sz w:val="24"/>
        </w:rPr>
        <w:lastRenderedPageBreak/>
        <w:t>PUŠU PIENĀKUMI</w:t>
      </w:r>
    </w:p>
    <w:p w:rsidR="00B6224C" w:rsidRDefault="00B6224C" w:rsidP="00B6224C">
      <w:pPr>
        <w:spacing w:after="0"/>
        <w:jc w:val="both"/>
        <w:rPr>
          <w:rFonts w:ascii="Times New Roman" w:hAnsi="Times New Roman"/>
          <w:b/>
        </w:rPr>
      </w:pP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PĀRDEVĒJS:</w:t>
      </w:r>
    </w:p>
    <w:p w:rsidR="00B6224C" w:rsidRDefault="00B6224C" w:rsidP="00B6224C">
      <w:pPr>
        <w:pStyle w:val="Sarakstarindkopa"/>
        <w:numPr>
          <w:ilvl w:val="2"/>
          <w:numId w:val="2"/>
        </w:numPr>
        <w:spacing w:after="0"/>
        <w:jc w:val="both"/>
        <w:rPr>
          <w:rFonts w:ascii="Times New Roman" w:hAnsi="Times New Roman"/>
        </w:rPr>
      </w:pPr>
      <w:r>
        <w:rPr>
          <w:rFonts w:ascii="Times New Roman" w:hAnsi="Times New Roman"/>
        </w:rPr>
        <w:t>Nodrošina PRECES atbilstību Tehniskajai specifikācijai un Līguma noteikumiem, kā arī ar likumiem un citiem tiesību aktiem noteiktiem un vispāratzītiem kvalitātes standartiem;</w:t>
      </w:r>
    </w:p>
    <w:p w:rsidR="00B6224C" w:rsidRDefault="00B6224C" w:rsidP="00B6224C">
      <w:pPr>
        <w:pStyle w:val="Sarakstarindkopa"/>
        <w:numPr>
          <w:ilvl w:val="2"/>
          <w:numId w:val="2"/>
        </w:numPr>
        <w:spacing w:after="0"/>
        <w:jc w:val="both"/>
        <w:rPr>
          <w:rFonts w:ascii="Times New Roman" w:hAnsi="Times New Roman"/>
        </w:rPr>
      </w:pPr>
      <w:r>
        <w:rPr>
          <w:rFonts w:ascii="Times New Roman" w:hAnsi="Times New Roman"/>
        </w:rPr>
        <w:t>PRECES marķējumā sniegtajai informācijai jābūt labi redzamai un saprotamai, tai objektīvi jāatspoguļo PRECES drošums vai nekaitīgums un kvalitāte.</w:t>
      </w:r>
    </w:p>
    <w:p w:rsidR="00B6224C" w:rsidRDefault="00B6224C" w:rsidP="00B6224C">
      <w:pPr>
        <w:spacing w:after="0"/>
        <w:jc w:val="both"/>
        <w:rPr>
          <w:rFonts w:ascii="Times New Roman" w:hAnsi="Times New Roman"/>
        </w:rPr>
      </w:pP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PIRCĒJS:</w:t>
      </w:r>
    </w:p>
    <w:p w:rsidR="00B6224C" w:rsidRDefault="00B6224C" w:rsidP="00B6224C">
      <w:pPr>
        <w:pStyle w:val="Sarakstarindkopa"/>
        <w:numPr>
          <w:ilvl w:val="2"/>
          <w:numId w:val="2"/>
        </w:numPr>
        <w:spacing w:after="0"/>
        <w:jc w:val="both"/>
        <w:rPr>
          <w:rFonts w:ascii="Times New Roman" w:hAnsi="Times New Roman"/>
        </w:rPr>
      </w:pPr>
      <w:r>
        <w:rPr>
          <w:rFonts w:ascii="Times New Roman" w:hAnsi="Times New Roman"/>
        </w:rPr>
        <w:t>Iegādājas Līguma prasībām atbilstošu PRECI un veic apmaksu;</w:t>
      </w:r>
    </w:p>
    <w:p w:rsidR="00B6224C" w:rsidRDefault="00B6224C" w:rsidP="00B6224C">
      <w:pPr>
        <w:pStyle w:val="Sarakstarindkopa"/>
        <w:numPr>
          <w:ilvl w:val="2"/>
          <w:numId w:val="2"/>
        </w:numPr>
        <w:spacing w:after="0"/>
        <w:jc w:val="both"/>
        <w:rPr>
          <w:rFonts w:ascii="Times New Roman" w:hAnsi="Times New Roman"/>
        </w:rPr>
      </w:pPr>
      <w:r>
        <w:rPr>
          <w:rFonts w:ascii="Times New Roman" w:hAnsi="Times New Roman"/>
        </w:rPr>
        <w:t xml:space="preserve">No PIRCĒJA puses atbildīgais par līguma izpildi : SIA “Veselības centrs Ilūkste” valdes locekle Zane </w:t>
      </w:r>
      <w:proofErr w:type="spellStart"/>
      <w:r>
        <w:rPr>
          <w:rFonts w:ascii="Times New Roman" w:hAnsi="Times New Roman"/>
        </w:rPr>
        <w:t>Buceniece</w:t>
      </w:r>
      <w:proofErr w:type="spellEnd"/>
      <w:r>
        <w:rPr>
          <w:rFonts w:ascii="Times New Roman" w:hAnsi="Times New Roman"/>
        </w:rPr>
        <w:t>–</w:t>
      </w:r>
      <w:proofErr w:type="spellStart"/>
      <w:r>
        <w:rPr>
          <w:rFonts w:ascii="Times New Roman" w:hAnsi="Times New Roman"/>
        </w:rPr>
        <w:t>Zīberga</w:t>
      </w:r>
      <w:proofErr w:type="spellEnd"/>
      <w:r>
        <w:rPr>
          <w:rFonts w:ascii="Times New Roman" w:hAnsi="Times New Roman"/>
        </w:rPr>
        <w:t>, tālrunis 654-62455</w:t>
      </w:r>
    </w:p>
    <w:p w:rsidR="00B6224C" w:rsidRDefault="00B6224C" w:rsidP="00B6224C">
      <w:pPr>
        <w:pStyle w:val="Sarakstarindkopa"/>
        <w:spacing w:after="0"/>
        <w:ind w:left="1440"/>
        <w:jc w:val="both"/>
        <w:rPr>
          <w:rFonts w:ascii="Times New Roman" w:hAnsi="Times New Roman"/>
        </w:rPr>
      </w:pPr>
    </w:p>
    <w:p w:rsidR="00B6224C" w:rsidRDefault="00B6224C" w:rsidP="00B6224C">
      <w:pPr>
        <w:pStyle w:val="Sarakstarindkopa"/>
        <w:numPr>
          <w:ilvl w:val="0"/>
          <w:numId w:val="2"/>
        </w:numPr>
        <w:spacing w:after="0"/>
        <w:jc w:val="center"/>
        <w:rPr>
          <w:rFonts w:ascii="Times New Roman" w:hAnsi="Times New Roman"/>
          <w:b/>
          <w:sz w:val="24"/>
        </w:rPr>
      </w:pPr>
      <w:r>
        <w:rPr>
          <w:rFonts w:ascii="Times New Roman" w:hAnsi="Times New Roman"/>
          <w:b/>
          <w:sz w:val="24"/>
        </w:rPr>
        <w:t>KVALITATĪVA UN LĪGUMA PRASĪBĀM ATBILSTOŠA PRECE</w:t>
      </w:r>
    </w:p>
    <w:p w:rsidR="00B6224C" w:rsidRDefault="00B6224C" w:rsidP="00B6224C">
      <w:pPr>
        <w:spacing w:after="0"/>
        <w:jc w:val="both"/>
        <w:rPr>
          <w:rFonts w:ascii="Times New Roman" w:hAnsi="Times New Roman"/>
          <w:b/>
        </w:rPr>
      </w:pP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PRECES kvalitātei jāatbilst Tehniskajā specifikācijā, Latvijas Republikas un Eiropas Savienības spēkā esošajos normatīvajos aktos noteiktajām kvalitātes un obligātā nekaitīguma prasībām.</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Ar Līguma prasībām atbilstošu PRECI, šī Līguma ietvaros saprotama PRECE, kas atbilst Līguma noteikumiem, tajā skaitā Tehniskajai specifikācijai un finanšu piedāvājumam.</w:t>
      </w:r>
    </w:p>
    <w:p w:rsidR="00B6224C" w:rsidRDefault="00B6224C" w:rsidP="00B6224C">
      <w:pPr>
        <w:pStyle w:val="Sarakstarindkopa"/>
        <w:spacing w:after="0"/>
        <w:ind w:left="900"/>
        <w:jc w:val="both"/>
        <w:rPr>
          <w:rFonts w:ascii="Times New Roman" w:hAnsi="Times New Roman"/>
          <w:sz w:val="24"/>
        </w:rPr>
      </w:pPr>
    </w:p>
    <w:p w:rsidR="00B6224C" w:rsidRDefault="00B6224C" w:rsidP="00B6224C">
      <w:pPr>
        <w:pStyle w:val="Sarakstarindkopa"/>
        <w:numPr>
          <w:ilvl w:val="0"/>
          <w:numId w:val="2"/>
        </w:numPr>
        <w:spacing w:after="0"/>
        <w:jc w:val="center"/>
        <w:rPr>
          <w:rFonts w:ascii="Times New Roman" w:hAnsi="Times New Roman"/>
          <w:b/>
          <w:sz w:val="24"/>
        </w:rPr>
      </w:pPr>
      <w:r>
        <w:rPr>
          <w:rFonts w:ascii="Times New Roman" w:hAnsi="Times New Roman"/>
          <w:b/>
          <w:sz w:val="24"/>
        </w:rPr>
        <w:t>NORĒĶINU KĀRTĪBA</w:t>
      </w:r>
    </w:p>
    <w:p w:rsidR="00B6224C" w:rsidRDefault="00B6224C" w:rsidP="00B6224C">
      <w:pPr>
        <w:spacing w:after="0"/>
        <w:jc w:val="both"/>
        <w:rPr>
          <w:rFonts w:ascii="Times New Roman" w:hAnsi="Times New Roman"/>
          <w:b/>
          <w:sz w:val="24"/>
        </w:rPr>
      </w:pPr>
      <w:r>
        <w:rPr>
          <w:rFonts w:ascii="Times New Roman" w:hAnsi="Times New Roman"/>
          <w:b/>
          <w:sz w:val="24"/>
        </w:rPr>
        <w:t xml:space="preserve"> </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Norēķināšanās par PRECI tiek veikta EUR ar pārskaitījumu PĀRDEVĒJA norādītajā norēķinu bankas kontā 10 (desmit) darba dienu laikā no PĀRDEVĒJA iesniegta un PIRCĒJA akceptēta preču pavadzīmes – rēķinu saņemšanas.</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Par samaksas dienu tiek uzskatīta diena, kad PIRCĒJS veicis bankas pārskaitījumu par PRECI PĀRDEVĒJA kontā.</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Katra no Pusēm sedz savus izdevumus par komisijas un banku pakalpojumiem, kas saistīti ar naudas pārskaitījumiem.</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Izbeidzoties Līguma termiņam vai pārtraucot Līgumu pirms termiņa, Puses sastāda un apstiprina savstarpējo norēķinu salīdzināšanas aktu, kurā Puses fiksē katras Puses izpildītās un neizpildītās saistības.</w:t>
      </w:r>
    </w:p>
    <w:p w:rsidR="00B6224C" w:rsidRDefault="00B6224C" w:rsidP="00B6224C">
      <w:pPr>
        <w:pStyle w:val="Sarakstarindkopa"/>
        <w:spacing w:after="0"/>
        <w:ind w:left="900"/>
        <w:jc w:val="both"/>
        <w:rPr>
          <w:rFonts w:ascii="Times New Roman" w:hAnsi="Times New Roman"/>
          <w:sz w:val="24"/>
        </w:rPr>
      </w:pPr>
    </w:p>
    <w:p w:rsidR="00B6224C" w:rsidRDefault="00B6224C" w:rsidP="00B6224C">
      <w:pPr>
        <w:pStyle w:val="Sarakstarindkopa"/>
        <w:numPr>
          <w:ilvl w:val="0"/>
          <w:numId w:val="2"/>
        </w:numPr>
        <w:spacing w:after="0"/>
        <w:jc w:val="center"/>
        <w:rPr>
          <w:rFonts w:ascii="Times New Roman" w:hAnsi="Times New Roman"/>
          <w:b/>
          <w:sz w:val="24"/>
        </w:rPr>
      </w:pPr>
      <w:r>
        <w:rPr>
          <w:rFonts w:ascii="Times New Roman" w:hAnsi="Times New Roman"/>
          <w:b/>
          <w:sz w:val="24"/>
        </w:rPr>
        <w:t>PREČU PIEGĀDES KĀRTĪBA</w:t>
      </w:r>
    </w:p>
    <w:p w:rsidR="00B6224C" w:rsidRDefault="00B6224C" w:rsidP="00B6224C">
      <w:pPr>
        <w:spacing w:after="0"/>
        <w:jc w:val="both"/>
        <w:rPr>
          <w:rFonts w:ascii="Times New Roman" w:hAnsi="Times New Roman"/>
          <w:b/>
          <w:sz w:val="24"/>
        </w:rPr>
      </w:pP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PREČU piegāde visam apjomam būs jānodrošina ne vairāk kā 5 (piecās) reizēs pēc PIRCĒJA pasūtījuma.</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PIRCĒJS var izdarīt PREČU pirkumu uz vietas PĀRDEVEJA veikalā, vai mutiski pasūtīt PRECI, ja tās nav PĀRDEVEJA noliktavā. PIRCĒJS var veikt pasūtījumu pa faksu:………….., e-pastu ………………………, vai paziņot par to PĀRDEVĒJA pilnvarotajai personai pa tālruni …………………..</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PĀRDEVĒJAM PIRCĒJA pasūtījumu ir jānodrošina 3 (trīs) darba dienu laikā pēc PIRCĒJA izdarītā pasūtījuma.</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Par PREČU iegādes dienu tiek uzskatīta diena, kad PIRCĒJA pilnvarotā amatpersona pašrocīgi parakstījusi preču pavadzīmi – rēķinu. Ar šo brīdi PIRCEJAM pāriet valdījuma tiesības un preču nejaušas bojāejas vai bojāšanās risks. PREČU īpašuma tiesības PIRCĒJS iegūst tikai brīdī, kad pilnībā norēķinājies par iegādātajām precēm.</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lastRenderedPageBreak/>
        <w:t>Pretenzijas par saņemto PREČU kvalitāti un citu Līguma saistību nepildīšanu PIRCĒJS iesniedz PARDEVEJAM ne vēlāk kā 3 9triju) darba dienu laikā no preču pavadzīmes saņemšanas brīža.</w:t>
      </w:r>
    </w:p>
    <w:p w:rsidR="00B6224C" w:rsidRDefault="00B6224C" w:rsidP="00B6224C">
      <w:pPr>
        <w:pStyle w:val="Sarakstarindkopa"/>
        <w:spacing w:after="0"/>
        <w:ind w:left="900"/>
        <w:jc w:val="both"/>
        <w:rPr>
          <w:rFonts w:ascii="Times New Roman" w:hAnsi="Times New Roman"/>
          <w:sz w:val="24"/>
        </w:rPr>
      </w:pPr>
    </w:p>
    <w:p w:rsidR="00B6224C" w:rsidRDefault="00B6224C" w:rsidP="00B6224C">
      <w:pPr>
        <w:pStyle w:val="Sarakstarindkopa"/>
        <w:numPr>
          <w:ilvl w:val="0"/>
          <w:numId w:val="2"/>
        </w:numPr>
        <w:spacing w:after="0"/>
        <w:jc w:val="center"/>
        <w:rPr>
          <w:rFonts w:ascii="Times New Roman" w:hAnsi="Times New Roman"/>
          <w:b/>
          <w:sz w:val="24"/>
        </w:rPr>
      </w:pPr>
      <w:r>
        <w:rPr>
          <w:rFonts w:ascii="Times New Roman" w:hAnsi="Times New Roman"/>
          <w:b/>
          <w:sz w:val="24"/>
        </w:rPr>
        <w:t>PUŠU MANTISKĀ ATBILDĪBA</w:t>
      </w:r>
    </w:p>
    <w:p w:rsidR="00B6224C" w:rsidRDefault="00B6224C" w:rsidP="00B6224C">
      <w:pPr>
        <w:spacing w:after="0"/>
        <w:jc w:val="both"/>
        <w:rPr>
          <w:rFonts w:ascii="Times New Roman" w:hAnsi="Times New Roman"/>
          <w:b/>
          <w:sz w:val="24"/>
        </w:rPr>
      </w:pP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Ja PIRCEJS neveic samaksu līgumā noteiktajā termiņā, tad tas maksā līgumsodu 0.1% (nulle komats viens procents) apmērā no nokavētā maksājuma summas par katru nokavēto dienu.</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PARDEVEJS maksā PIRCĒJAM līgumsodu 5% (piecu procentu) apmērā no Līguma kopējās summas, gadījumā, ja tas atsakās no Līguma noteikumu izpildes.</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Pēc PIRCĒJA vai PĀRDEVĒJA rakstveida pieprasījuma PĀRDEVEJS vai PIRCĒJS atlīdzina pilnā apmērā visus zaudējumus saskaņā ar Latvijas Republikas Civillikuma normām, kas radušies PARDEVEJA vai PIRCEJA vainas dēļ Līguma nepienācīgas izpildes rezultātā.</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Līgumsoda samaksa neatbrīvo no Puses no saistību izpildes.</w:t>
      </w:r>
    </w:p>
    <w:p w:rsidR="00B6224C" w:rsidRDefault="00B6224C" w:rsidP="00B6224C">
      <w:pPr>
        <w:pStyle w:val="Sarakstarindkopa"/>
        <w:spacing w:after="0"/>
        <w:ind w:left="900"/>
        <w:jc w:val="both"/>
        <w:rPr>
          <w:rFonts w:ascii="Times New Roman" w:hAnsi="Times New Roman"/>
          <w:sz w:val="24"/>
        </w:rPr>
      </w:pPr>
    </w:p>
    <w:p w:rsidR="00B6224C" w:rsidRDefault="00B6224C" w:rsidP="00B6224C">
      <w:pPr>
        <w:pStyle w:val="Sarakstarindkopa"/>
        <w:numPr>
          <w:ilvl w:val="0"/>
          <w:numId w:val="2"/>
        </w:numPr>
        <w:spacing w:after="0"/>
        <w:jc w:val="center"/>
        <w:rPr>
          <w:rFonts w:ascii="Times New Roman" w:hAnsi="Times New Roman"/>
          <w:b/>
          <w:sz w:val="24"/>
        </w:rPr>
      </w:pPr>
      <w:r>
        <w:rPr>
          <w:rFonts w:ascii="Times New Roman" w:hAnsi="Times New Roman"/>
          <w:b/>
          <w:sz w:val="24"/>
        </w:rPr>
        <w:t>NEPĀRVARAMA VARA</w:t>
      </w:r>
    </w:p>
    <w:p w:rsidR="00B6224C" w:rsidRDefault="00B6224C" w:rsidP="00B6224C">
      <w:pPr>
        <w:spacing w:after="0"/>
        <w:jc w:val="both"/>
        <w:rPr>
          <w:rFonts w:ascii="Times New Roman" w:hAnsi="Times New Roman"/>
          <w:b/>
          <w:sz w:val="24"/>
        </w:rPr>
      </w:pP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Ar nepārvaramas varas apstākļiem jāsaprot dabas stihijas (plūdi, vētras postījumi), valdības izraisītas akcijas, politiskās un ekonomiskās blokādes un citi no Pusēm pilnīgi neatkarīgi radušies ārkārtēja rakstura negadījumi, ko Pusēm nebija iespēja ne redzēt, ne novērst.</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Pusei, kura atsaucas uz nepārvaramas varas apstākļiem ir jāpierāda, ka tai nebija iespēju ne paredzēt, ne novērst radušos apstākļus, kuru sekas par spīti īstenotajai pienācīgajai rūpībai, nav bijis iespējams novērst.</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Gadījumā, ja nepārvaramas varas apstākļi turpinās ilgāk kā 30 (trīsdesmit) kalendārās dienas, katra no Pusēm ir tiesīga vienpusēji atkāpties no Līguma, par to rakstveidā brīdinot otru Pusi 5 (piecas) darba dienas iepriekš.</w:t>
      </w:r>
    </w:p>
    <w:p w:rsidR="00B6224C" w:rsidRDefault="00B6224C" w:rsidP="00B6224C">
      <w:pPr>
        <w:pStyle w:val="Sarakstarindkopa"/>
        <w:spacing w:after="0"/>
        <w:ind w:left="900"/>
        <w:jc w:val="both"/>
        <w:rPr>
          <w:rFonts w:ascii="Times New Roman" w:hAnsi="Times New Roman"/>
          <w:sz w:val="24"/>
        </w:rPr>
      </w:pPr>
    </w:p>
    <w:p w:rsidR="00B6224C" w:rsidRDefault="00B6224C" w:rsidP="00B6224C">
      <w:pPr>
        <w:pStyle w:val="Sarakstarindkopa"/>
        <w:numPr>
          <w:ilvl w:val="0"/>
          <w:numId w:val="2"/>
        </w:numPr>
        <w:spacing w:after="0"/>
        <w:jc w:val="center"/>
        <w:rPr>
          <w:rFonts w:ascii="Times New Roman" w:hAnsi="Times New Roman"/>
          <w:b/>
          <w:sz w:val="24"/>
        </w:rPr>
      </w:pPr>
      <w:r>
        <w:rPr>
          <w:rFonts w:ascii="Times New Roman" w:hAnsi="Times New Roman"/>
          <w:b/>
          <w:sz w:val="24"/>
        </w:rPr>
        <w:t>STRĪDU IZSKATĪŠANA</w:t>
      </w:r>
    </w:p>
    <w:p w:rsidR="00B6224C" w:rsidRDefault="00B6224C" w:rsidP="00B6224C">
      <w:pPr>
        <w:spacing w:after="0"/>
        <w:jc w:val="both"/>
        <w:rPr>
          <w:rFonts w:ascii="Times New Roman" w:hAnsi="Times New Roman"/>
          <w:b/>
          <w:sz w:val="24"/>
        </w:rPr>
      </w:pP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Strīdus un nesaskaņas, kas var rasties Līguma izpildes rezultātā vai sakarā ar Līgumu, Puses atrisina savstarpēju pārrunu ceļā. Ja Puses nevar panākt vienošanos, tad domstarpības risināmas Latvijas Republikas tiesā.</w:t>
      </w:r>
    </w:p>
    <w:p w:rsidR="00B6224C" w:rsidRDefault="00B6224C" w:rsidP="00B6224C">
      <w:pPr>
        <w:pStyle w:val="Sarakstarindkopa"/>
        <w:spacing w:after="0"/>
        <w:ind w:left="900"/>
        <w:jc w:val="both"/>
        <w:rPr>
          <w:rFonts w:ascii="Times New Roman" w:hAnsi="Times New Roman"/>
          <w:sz w:val="24"/>
        </w:rPr>
      </w:pPr>
    </w:p>
    <w:p w:rsidR="00B6224C" w:rsidRDefault="00B6224C" w:rsidP="00B6224C">
      <w:pPr>
        <w:pStyle w:val="Sarakstarindkopa"/>
        <w:numPr>
          <w:ilvl w:val="0"/>
          <w:numId w:val="2"/>
        </w:numPr>
        <w:spacing w:after="0"/>
        <w:jc w:val="center"/>
        <w:rPr>
          <w:rFonts w:ascii="Times New Roman" w:hAnsi="Times New Roman"/>
          <w:b/>
          <w:sz w:val="24"/>
        </w:rPr>
      </w:pPr>
      <w:r>
        <w:rPr>
          <w:rFonts w:ascii="Times New Roman" w:hAnsi="Times New Roman"/>
          <w:b/>
          <w:sz w:val="24"/>
        </w:rPr>
        <w:t>LĪGUMA DARBĪBAS LAIKS, TĀ GROZĪŠANAS, PAPILDINĀŠANAS UN LAUŠANAS KĀRTĪBA</w:t>
      </w:r>
    </w:p>
    <w:p w:rsidR="00B6224C" w:rsidRDefault="00B6224C" w:rsidP="00B6224C">
      <w:pPr>
        <w:spacing w:after="0"/>
        <w:jc w:val="both"/>
        <w:rPr>
          <w:rFonts w:ascii="Times New Roman" w:hAnsi="Times New Roman"/>
          <w:b/>
          <w:sz w:val="24"/>
        </w:rPr>
      </w:pP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 xml:space="preserve">Līgums stājas spēkā no tā abpusējas parakstīšanas brīža un darbojas līdz 2015.gada ……………………………… </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Šo līgumu var grozīt vai papildināt, Pusēm rakstiski vienojoties, kas tiek noformēts ar Pušu vienošanos, kuru pievieno Līgumam un, kas ir Līguma neatņemama sastāvdaļa.</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Katra no Pusēm ir tiesīga lauzt Līgumu pirms termiņa, rakstiski brīdinot par to otru Pusi mēnesi iepriekš, ja netiek izpildītas Līguma saistības.</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lastRenderedPageBreak/>
        <w:t>Līguma laušanas gadījumā Pusēm jānorēķinās par visām saistībām, kas radušas līdz Līguma laušanas dienai.</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Vienas Puses īpašnieka vai īpašuma formas maiņas nevar būt par pamatu Līguma izbeigšanai. Līguma izpildīšanas pienākums pāriet Pušu tiesību un saistību pārņēmējiem.</w:t>
      </w:r>
    </w:p>
    <w:p w:rsidR="00B6224C" w:rsidRDefault="00B6224C" w:rsidP="00B6224C">
      <w:pPr>
        <w:pStyle w:val="Sarakstarindkopa"/>
        <w:numPr>
          <w:ilvl w:val="0"/>
          <w:numId w:val="2"/>
        </w:numPr>
        <w:spacing w:after="0"/>
        <w:jc w:val="center"/>
        <w:rPr>
          <w:rFonts w:ascii="Times New Roman" w:hAnsi="Times New Roman"/>
          <w:b/>
          <w:sz w:val="24"/>
        </w:rPr>
      </w:pPr>
      <w:r>
        <w:rPr>
          <w:rFonts w:ascii="Times New Roman" w:hAnsi="Times New Roman"/>
          <w:b/>
          <w:sz w:val="24"/>
        </w:rPr>
        <w:t>CITI NOTEIKUMI</w:t>
      </w:r>
    </w:p>
    <w:p w:rsidR="00B6224C" w:rsidRDefault="00B6224C" w:rsidP="00B6224C">
      <w:pPr>
        <w:spacing w:after="0"/>
        <w:jc w:val="both"/>
        <w:rPr>
          <w:rFonts w:ascii="Times New Roman" w:hAnsi="Times New Roman"/>
          <w:b/>
          <w:sz w:val="24"/>
        </w:rPr>
      </w:pP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Pušu reorganizācija vai to vadītāju maina nevar būt par pamatu Līguma pārtraukšanai vai izbeigšanai. Gadījumā, ja kāda no Pusēm tiek reorganizēta vai likvidēta, Līgums paliek spēkā un tā noteikumi ir saistoši Puses tiesību un saistību pārņēmējiem.</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Puses 3 (trīs) darba dienu laikā informē viena otru par adreses, bankas rēķinu vai citu rekvizītu izmaiņām.</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Paziņojumi par atkāpšanos no Līguma vai cita veida korespondence, kas attiecas uz Līgumu ir jānosūta ierakstītā vēstulē uz Līgumā norādītajām adresēm.</w:t>
      </w:r>
    </w:p>
    <w:p w:rsidR="00B6224C" w:rsidRDefault="00B6224C" w:rsidP="00B6224C">
      <w:pPr>
        <w:pStyle w:val="Sarakstarindkopa"/>
        <w:numPr>
          <w:ilvl w:val="1"/>
          <w:numId w:val="2"/>
        </w:numPr>
        <w:spacing w:after="0"/>
        <w:jc w:val="both"/>
        <w:rPr>
          <w:rFonts w:ascii="Times New Roman" w:hAnsi="Times New Roman"/>
        </w:rPr>
      </w:pPr>
      <w:r>
        <w:rPr>
          <w:rFonts w:ascii="Times New Roman" w:hAnsi="Times New Roman"/>
        </w:rPr>
        <w:t>Līgums sastādīts latviešu valodā uz četrām (četrām) lapām, divos eksemplāros ar vienādu juridisku spēku, no kuriem viens glabājas pie PIRCEJA un otrs pie PĀRDEVEJA.</w:t>
      </w:r>
    </w:p>
    <w:p w:rsidR="00B6224C" w:rsidRDefault="00B6224C" w:rsidP="00B6224C">
      <w:pPr>
        <w:pStyle w:val="Sarakstarindkopa"/>
        <w:spacing w:after="0"/>
        <w:ind w:left="900"/>
        <w:jc w:val="both"/>
        <w:rPr>
          <w:rFonts w:ascii="Times New Roman" w:hAnsi="Times New Roman"/>
        </w:rPr>
      </w:pPr>
    </w:p>
    <w:p w:rsidR="00B6224C" w:rsidRDefault="00B6224C" w:rsidP="00B6224C">
      <w:pPr>
        <w:pStyle w:val="Sarakstarindkopa"/>
        <w:numPr>
          <w:ilvl w:val="0"/>
          <w:numId w:val="2"/>
        </w:numPr>
        <w:spacing w:after="0"/>
        <w:jc w:val="center"/>
        <w:rPr>
          <w:rFonts w:ascii="Times New Roman" w:hAnsi="Times New Roman"/>
          <w:b/>
          <w:sz w:val="24"/>
        </w:rPr>
      </w:pPr>
      <w:r>
        <w:rPr>
          <w:rFonts w:ascii="Times New Roman" w:hAnsi="Times New Roman"/>
          <w:b/>
          <w:sz w:val="24"/>
        </w:rPr>
        <w:t>PUŠU JURIDISKĀS ADRESES</w:t>
      </w:r>
    </w:p>
    <w:p w:rsidR="00B6224C" w:rsidRDefault="00B6224C" w:rsidP="00B6224C">
      <w:pPr>
        <w:pStyle w:val="Sarakstarindkopa"/>
        <w:spacing w:after="0"/>
        <w:ind w:left="540"/>
        <w:rPr>
          <w:rFonts w:ascii="Times New Roman" w:hAnsi="Times New Roman"/>
          <w:b/>
          <w:sz w:val="24"/>
        </w:rPr>
      </w:pPr>
    </w:p>
    <w:tbl>
      <w:tblPr>
        <w:tblW w:w="7756" w:type="dxa"/>
        <w:tblInd w:w="540" w:type="dxa"/>
        <w:tblCellMar>
          <w:left w:w="10" w:type="dxa"/>
          <w:right w:w="10" w:type="dxa"/>
        </w:tblCellMar>
        <w:tblLook w:val="0000" w:firstRow="0" w:lastRow="0" w:firstColumn="0" w:lastColumn="0" w:noHBand="0" w:noVBand="0"/>
      </w:tblPr>
      <w:tblGrid>
        <w:gridCol w:w="4275"/>
        <w:gridCol w:w="3481"/>
      </w:tblGrid>
      <w:tr w:rsidR="00B6224C" w:rsidTr="005B31ED">
        <w:tblPrEx>
          <w:tblCellMar>
            <w:top w:w="0" w:type="dxa"/>
            <w:bottom w:w="0" w:type="dxa"/>
          </w:tblCellMar>
        </w:tblPrEx>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b/>
                <w:sz w:val="24"/>
              </w:rPr>
            </w:pPr>
            <w:r>
              <w:rPr>
                <w:rFonts w:ascii="Times New Roman" w:hAnsi="Times New Roman"/>
                <w:b/>
                <w:sz w:val="24"/>
              </w:rPr>
              <w:t>Pircējs</w:t>
            </w:r>
          </w:p>
        </w:tc>
        <w:tc>
          <w:tcPr>
            <w:tcW w:w="3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224C" w:rsidRDefault="00B6224C" w:rsidP="005B31ED">
            <w:pPr>
              <w:pStyle w:val="Sarakstarindkopa"/>
              <w:spacing w:after="0"/>
              <w:ind w:left="0"/>
              <w:jc w:val="center"/>
              <w:rPr>
                <w:rFonts w:ascii="Times New Roman" w:hAnsi="Times New Roman"/>
                <w:b/>
                <w:sz w:val="24"/>
              </w:rPr>
            </w:pPr>
            <w:r>
              <w:rPr>
                <w:rFonts w:ascii="Times New Roman" w:hAnsi="Times New Roman"/>
                <w:b/>
                <w:sz w:val="24"/>
              </w:rPr>
              <w:t>Pārdevējs</w:t>
            </w:r>
          </w:p>
        </w:tc>
      </w:tr>
      <w:tr w:rsidR="00B6224C" w:rsidTr="005B31ED">
        <w:tblPrEx>
          <w:tblCellMar>
            <w:top w:w="0" w:type="dxa"/>
            <w:bottom w:w="0" w:type="dxa"/>
          </w:tblCellMar>
        </w:tblPrEx>
        <w:tc>
          <w:tcPr>
            <w:tcW w:w="4275" w:type="dxa"/>
            <w:tcBorders>
              <w:top w:val="single" w:sz="4" w:space="0" w:color="000000"/>
            </w:tcBorders>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r>
              <w:rPr>
                <w:rFonts w:ascii="Times New Roman" w:hAnsi="Times New Roman"/>
                <w:sz w:val="24"/>
              </w:rPr>
              <w:t>SIA “Veselības centrs Ilūkste”</w:t>
            </w:r>
          </w:p>
        </w:tc>
        <w:tc>
          <w:tcPr>
            <w:tcW w:w="3481" w:type="dxa"/>
            <w:tcBorders>
              <w:top w:val="single" w:sz="4" w:space="0" w:color="000000"/>
            </w:tcBorders>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p>
        </w:tc>
      </w:tr>
      <w:tr w:rsidR="00B6224C" w:rsidTr="005B31ED">
        <w:tblPrEx>
          <w:tblCellMar>
            <w:top w:w="0" w:type="dxa"/>
            <w:bottom w:w="0" w:type="dxa"/>
          </w:tblCellMar>
        </w:tblPrEx>
        <w:tc>
          <w:tcPr>
            <w:tcW w:w="4275" w:type="dxa"/>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r>
              <w:rPr>
                <w:rFonts w:ascii="Times New Roman" w:hAnsi="Times New Roman"/>
                <w:sz w:val="24"/>
              </w:rPr>
              <w:t>Adrese: Raiņa iela 35, Ilūkste, Ilūkstes novads, LV - 5447</w:t>
            </w:r>
          </w:p>
        </w:tc>
        <w:tc>
          <w:tcPr>
            <w:tcW w:w="3481" w:type="dxa"/>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p>
        </w:tc>
      </w:tr>
      <w:tr w:rsidR="00B6224C" w:rsidTr="005B31ED">
        <w:tblPrEx>
          <w:tblCellMar>
            <w:top w:w="0" w:type="dxa"/>
            <w:bottom w:w="0" w:type="dxa"/>
          </w:tblCellMar>
        </w:tblPrEx>
        <w:tc>
          <w:tcPr>
            <w:tcW w:w="4275" w:type="dxa"/>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r>
              <w:rPr>
                <w:rFonts w:ascii="Times New Roman" w:hAnsi="Times New Roman"/>
                <w:sz w:val="24"/>
              </w:rPr>
              <w:t>Reģ.nr.41503014677</w:t>
            </w:r>
          </w:p>
        </w:tc>
        <w:tc>
          <w:tcPr>
            <w:tcW w:w="3481" w:type="dxa"/>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p>
        </w:tc>
      </w:tr>
      <w:tr w:rsidR="00B6224C" w:rsidTr="005B31ED">
        <w:tblPrEx>
          <w:tblCellMar>
            <w:top w:w="0" w:type="dxa"/>
            <w:bottom w:w="0" w:type="dxa"/>
          </w:tblCellMar>
        </w:tblPrEx>
        <w:tc>
          <w:tcPr>
            <w:tcW w:w="4275" w:type="dxa"/>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proofErr w:type="spellStart"/>
            <w:r>
              <w:rPr>
                <w:rFonts w:ascii="Times New Roman" w:hAnsi="Times New Roman"/>
                <w:sz w:val="24"/>
              </w:rPr>
              <w:t>As</w:t>
            </w:r>
            <w:proofErr w:type="spellEnd"/>
            <w:r>
              <w:rPr>
                <w:rFonts w:ascii="Times New Roman" w:hAnsi="Times New Roman"/>
                <w:sz w:val="24"/>
              </w:rPr>
              <w:t xml:space="preserve"> “</w:t>
            </w:r>
            <w:proofErr w:type="spellStart"/>
            <w:r>
              <w:rPr>
                <w:rFonts w:ascii="Times New Roman" w:hAnsi="Times New Roman"/>
                <w:sz w:val="24"/>
              </w:rPr>
              <w:t>Swedbank</w:t>
            </w:r>
            <w:proofErr w:type="spellEnd"/>
            <w:r>
              <w:rPr>
                <w:rFonts w:ascii="Times New Roman" w:hAnsi="Times New Roman"/>
                <w:sz w:val="24"/>
              </w:rPr>
              <w:t>”</w:t>
            </w:r>
          </w:p>
        </w:tc>
        <w:tc>
          <w:tcPr>
            <w:tcW w:w="3481" w:type="dxa"/>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p>
        </w:tc>
      </w:tr>
      <w:tr w:rsidR="00B6224C" w:rsidTr="005B31ED">
        <w:tblPrEx>
          <w:tblCellMar>
            <w:top w:w="0" w:type="dxa"/>
            <w:bottom w:w="0" w:type="dxa"/>
          </w:tblCellMar>
        </w:tblPrEx>
        <w:tc>
          <w:tcPr>
            <w:tcW w:w="4275" w:type="dxa"/>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r>
              <w:rPr>
                <w:rFonts w:ascii="Times New Roman" w:hAnsi="Times New Roman"/>
                <w:sz w:val="24"/>
              </w:rPr>
              <w:t xml:space="preserve">Bankas konta nr. </w:t>
            </w:r>
          </w:p>
        </w:tc>
        <w:tc>
          <w:tcPr>
            <w:tcW w:w="3481" w:type="dxa"/>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p>
        </w:tc>
      </w:tr>
      <w:tr w:rsidR="00B6224C" w:rsidTr="005B31ED">
        <w:tblPrEx>
          <w:tblCellMar>
            <w:top w:w="0" w:type="dxa"/>
            <w:bottom w:w="0" w:type="dxa"/>
          </w:tblCellMar>
        </w:tblPrEx>
        <w:tc>
          <w:tcPr>
            <w:tcW w:w="4275" w:type="dxa"/>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r>
              <w:rPr>
                <w:rFonts w:ascii="Times New Roman" w:hAnsi="Times New Roman"/>
                <w:sz w:val="24"/>
              </w:rPr>
              <w:t>LV54 HABA 0551 0331 8061 1</w:t>
            </w:r>
          </w:p>
        </w:tc>
        <w:tc>
          <w:tcPr>
            <w:tcW w:w="3481" w:type="dxa"/>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p>
        </w:tc>
      </w:tr>
      <w:tr w:rsidR="00B6224C" w:rsidTr="005B31ED">
        <w:tblPrEx>
          <w:tblCellMar>
            <w:top w:w="0" w:type="dxa"/>
            <w:bottom w:w="0" w:type="dxa"/>
          </w:tblCellMar>
        </w:tblPrEx>
        <w:tc>
          <w:tcPr>
            <w:tcW w:w="4275" w:type="dxa"/>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r>
              <w:rPr>
                <w:rFonts w:ascii="Times New Roman" w:hAnsi="Times New Roman"/>
                <w:sz w:val="24"/>
              </w:rPr>
              <w:t>LV75 HABA 0551 0343 7663 1</w:t>
            </w:r>
          </w:p>
        </w:tc>
        <w:tc>
          <w:tcPr>
            <w:tcW w:w="3481" w:type="dxa"/>
            <w:shd w:val="clear" w:color="auto" w:fill="auto"/>
            <w:tcMar>
              <w:top w:w="0" w:type="dxa"/>
              <w:left w:w="108" w:type="dxa"/>
              <w:bottom w:w="0" w:type="dxa"/>
              <w:right w:w="108" w:type="dxa"/>
            </w:tcMar>
          </w:tcPr>
          <w:p w:rsidR="00B6224C" w:rsidRDefault="00B6224C" w:rsidP="005B31ED">
            <w:pPr>
              <w:pStyle w:val="Sarakstarindkopa"/>
              <w:spacing w:after="0"/>
              <w:ind w:left="0"/>
              <w:jc w:val="both"/>
              <w:rPr>
                <w:rFonts w:ascii="Times New Roman" w:hAnsi="Times New Roman"/>
                <w:sz w:val="24"/>
              </w:rPr>
            </w:pPr>
          </w:p>
        </w:tc>
      </w:tr>
    </w:tbl>
    <w:p w:rsidR="00B6224C" w:rsidRDefault="00B6224C" w:rsidP="00B6224C">
      <w:pPr>
        <w:pStyle w:val="Sarakstarindkopa"/>
        <w:spacing w:after="0"/>
        <w:ind w:left="540"/>
        <w:jc w:val="both"/>
        <w:rPr>
          <w:rFonts w:ascii="Times New Roman" w:hAnsi="Times New Roman"/>
          <w:b/>
          <w:sz w:val="24"/>
        </w:rPr>
      </w:pPr>
    </w:p>
    <w:p w:rsidR="00B6224C" w:rsidRDefault="00B6224C" w:rsidP="00B6224C">
      <w:pPr>
        <w:pStyle w:val="Sarakstarindkopa"/>
        <w:spacing w:after="0"/>
        <w:ind w:left="540"/>
        <w:jc w:val="both"/>
        <w:rPr>
          <w:rFonts w:ascii="Times New Roman" w:hAnsi="Times New Roman"/>
          <w:b/>
          <w:sz w:val="24"/>
        </w:rPr>
      </w:pPr>
    </w:p>
    <w:p w:rsidR="00B6224C" w:rsidRDefault="00B6224C" w:rsidP="00B6224C">
      <w:pPr>
        <w:pStyle w:val="Sarakstarindkopa"/>
        <w:spacing w:after="0"/>
        <w:ind w:left="540"/>
        <w:jc w:val="both"/>
        <w:rPr>
          <w:rFonts w:ascii="Times New Roman" w:hAnsi="Times New Roman"/>
          <w:b/>
          <w:sz w:val="24"/>
        </w:rPr>
      </w:pPr>
    </w:p>
    <w:p w:rsidR="00B6224C" w:rsidRDefault="00B6224C" w:rsidP="00B6224C">
      <w:pPr>
        <w:pStyle w:val="Sarakstarindkopa"/>
        <w:spacing w:after="0"/>
        <w:ind w:left="540"/>
        <w:jc w:val="both"/>
        <w:rPr>
          <w:rFonts w:ascii="Times New Roman" w:hAnsi="Times New Roman"/>
          <w:b/>
          <w:sz w:val="24"/>
        </w:rPr>
      </w:pPr>
    </w:p>
    <w:p w:rsidR="00B6224C" w:rsidRDefault="00B6224C" w:rsidP="00B6224C">
      <w:pPr>
        <w:pStyle w:val="Sarakstarindkopa"/>
        <w:spacing w:after="0"/>
        <w:ind w:left="540"/>
        <w:jc w:val="both"/>
        <w:rPr>
          <w:rFonts w:ascii="Times New Roman" w:hAnsi="Times New Roman"/>
          <w:b/>
          <w:sz w:val="24"/>
        </w:rPr>
      </w:pPr>
      <w:r>
        <w:rPr>
          <w:rFonts w:ascii="Times New Roman" w:hAnsi="Times New Roman"/>
          <w:b/>
          <w:sz w:val="24"/>
        </w:rPr>
        <w:t>_________________________</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_____________________</w:t>
      </w:r>
    </w:p>
    <w:p w:rsidR="00B6224C" w:rsidRDefault="00B6224C" w:rsidP="00B6224C">
      <w:pPr>
        <w:pStyle w:val="Sarakstarindkopa"/>
        <w:spacing w:after="0"/>
        <w:ind w:left="540"/>
        <w:jc w:val="both"/>
        <w:rPr>
          <w:rFonts w:ascii="Times New Roman" w:hAnsi="Times New Roman"/>
          <w:sz w:val="24"/>
        </w:rPr>
      </w:pPr>
      <w:r>
        <w:rPr>
          <w:rFonts w:ascii="Times New Roman" w:hAnsi="Times New Roman"/>
          <w:sz w:val="24"/>
        </w:rPr>
        <w:t xml:space="preserve">(Zane </w:t>
      </w:r>
      <w:proofErr w:type="spellStart"/>
      <w:r>
        <w:rPr>
          <w:rFonts w:ascii="Times New Roman" w:hAnsi="Times New Roman"/>
          <w:sz w:val="24"/>
        </w:rPr>
        <w:t>Buceniece</w:t>
      </w:r>
      <w:proofErr w:type="spellEnd"/>
      <w:r>
        <w:rPr>
          <w:rFonts w:ascii="Times New Roman" w:hAnsi="Times New Roman"/>
          <w:sz w:val="24"/>
        </w:rPr>
        <w:t xml:space="preserve"> –</w:t>
      </w:r>
      <w:proofErr w:type="spellStart"/>
      <w:r>
        <w:rPr>
          <w:rFonts w:ascii="Times New Roman" w:hAnsi="Times New Roman"/>
          <w:sz w:val="24"/>
        </w:rPr>
        <w:t>Zīberga</w:t>
      </w:r>
      <w:proofErr w:type="spellEnd"/>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w:t>
      </w:r>
    </w:p>
    <w:p w:rsidR="00B6224C" w:rsidRDefault="00B6224C" w:rsidP="00B6224C">
      <w:pPr>
        <w:pStyle w:val="Sarakstarindkopa"/>
        <w:spacing w:after="0"/>
        <w:ind w:left="540"/>
        <w:jc w:val="both"/>
        <w:rPr>
          <w:rFonts w:ascii="Times New Roman" w:hAnsi="Times New Roman"/>
          <w:sz w:val="24"/>
        </w:rPr>
      </w:pPr>
    </w:p>
    <w:p w:rsidR="00B6224C" w:rsidRDefault="00B6224C" w:rsidP="00B6224C">
      <w:pPr>
        <w:pStyle w:val="Sarakstarindkopa"/>
        <w:spacing w:after="0"/>
        <w:ind w:left="540"/>
        <w:jc w:val="both"/>
        <w:rPr>
          <w:rFonts w:ascii="Times New Roman" w:hAnsi="Times New Roman"/>
          <w:sz w:val="24"/>
        </w:rPr>
      </w:pPr>
    </w:p>
    <w:p w:rsidR="00B6224C" w:rsidRDefault="00B6224C" w:rsidP="00B6224C">
      <w:pPr>
        <w:pStyle w:val="Sarakstarindkopa"/>
        <w:spacing w:after="0"/>
        <w:ind w:left="540"/>
        <w:jc w:val="both"/>
      </w:pPr>
      <w:r>
        <w:rPr>
          <w:rFonts w:ascii="Times New Roman" w:hAnsi="Times New Roman"/>
          <w:sz w:val="24"/>
        </w:rPr>
        <w:t>2015.gada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2015.gada ……………….</w:t>
      </w:r>
    </w:p>
    <w:p w:rsidR="00BF681B" w:rsidRPr="00B6224C" w:rsidRDefault="00BF681B" w:rsidP="00B6224C"/>
    <w:sectPr w:rsidR="00BF681B" w:rsidRPr="00B6224C">
      <w:footerReference w:type="default" r:id="rId6"/>
      <w:pgSz w:w="11906" w:h="16838"/>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17" w:rsidRDefault="00B6224C">
    <w:pPr>
      <w:pStyle w:val="Kjene"/>
      <w:jc w:val="center"/>
    </w:pPr>
    <w:r>
      <w:fldChar w:fldCharType="begin"/>
    </w:r>
    <w:r>
      <w:instrText xml:space="preserve"> PAGE </w:instrText>
    </w:r>
    <w:r>
      <w:fldChar w:fldCharType="separate"/>
    </w:r>
    <w:r>
      <w:rPr>
        <w:noProof/>
      </w:rPr>
      <w:t>1</w:t>
    </w:r>
    <w:r>
      <w:fldChar w:fldCharType="end"/>
    </w:r>
  </w:p>
  <w:p w:rsidR="00AE3717" w:rsidRDefault="00B6224C">
    <w:pPr>
      <w:pStyle w:val="Kjene"/>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3B62"/>
    <w:multiLevelType w:val="multilevel"/>
    <w:tmpl w:val="C5F2772A"/>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38FA1B2A"/>
    <w:multiLevelType w:val="multilevel"/>
    <w:tmpl w:val="BE986446"/>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49"/>
    <w:rsid w:val="00270516"/>
    <w:rsid w:val="008A4B71"/>
    <w:rsid w:val="00B6224C"/>
    <w:rsid w:val="00BF681B"/>
    <w:rsid w:val="00D12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D12449"/>
    <w:pPr>
      <w:suppressAutoHyphens/>
      <w:autoSpaceDN w:val="0"/>
      <w:spacing w:after="160" w:line="240" w:lineRule="auto"/>
      <w:textAlignment w:val="baseline"/>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D12449"/>
    <w:pPr>
      <w:ind w:left="720"/>
    </w:pPr>
  </w:style>
  <w:style w:type="paragraph" w:styleId="Kjene">
    <w:name w:val="footer"/>
    <w:basedOn w:val="Parasts"/>
    <w:link w:val="KjeneRakstz"/>
    <w:rsid w:val="00B6224C"/>
    <w:pPr>
      <w:tabs>
        <w:tab w:val="center" w:pos="4153"/>
        <w:tab w:val="right" w:pos="8306"/>
      </w:tabs>
      <w:spacing w:after="0"/>
    </w:pPr>
  </w:style>
  <w:style w:type="character" w:customStyle="1" w:styleId="KjeneRakstz">
    <w:name w:val="Kājene Rakstz."/>
    <w:basedOn w:val="Noklusjumarindkopasfonts"/>
    <w:link w:val="Kjene"/>
    <w:rsid w:val="00B6224C"/>
    <w:rPr>
      <w:rFonts w:ascii="Calibri" w:eastAsia="Times New Roman" w:hAnsi="Calibri" w:cs="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D12449"/>
    <w:pPr>
      <w:suppressAutoHyphens/>
      <w:autoSpaceDN w:val="0"/>
      <w:spacing w:after="160" w:line="240" w:lineRule="auto"/>
      <w:textAlignment w:val="baseline"/>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D12449"/>
    <w:pPr>
      <w:ind w:left="720"/>
    </w:pPr>
  </w:style>
  <w:style w:type="paragraph" w:styleId="Kjene">
    <w:name w:val="footer"/>
    <w:basedOn w:val="Parasts"/>
    <w:link w:val="KjeneRakstz"/>
    <w:rsid w:val="00B6224C"/>
    <w:pPr>
      <w:tabs>
        <w:tab w:val="center" w:pos="4153"/>
        <w:tab w:val="right" w:pos="8306"/>
      </w:tabs>
      <w:spacing w:after="0"/>
    </w:pPr>
  </w:style>
  <w:style w:type="character" w:customStyle="1" w:styleId="KjeneRakstz">
    <w:name w:val="Kājene Rakstz."/>
    <w:basedOn w:val="Noklusjumarindkopasfonts"/>
    <w:link w:val="Kjene"/>
    <w:rsid w:val="00B6224C"/>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5788</Words>
  <Characters>3300</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2015-04-08T09:59:00Z</dcterms:created>
  <dcterms:modified xsi:type="dcterms:W3CDTF">2015-04-08T09:59:00Z</dcterms:modified>
</cp:coreProperties>
</file>